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789D" w14:textId="77777777" w:rsidR="00240AAA" w:rsidRPr="00240AAA" w:rsidRDefault="00240AAA" w:rsidP="00240AAA">
      <w:pPr>
        <w:pStyle w:val="Normalny1"/>
        <w:spacing w:before="0" w:beforeAutospacing="0" w:after="0" w:afterAutospacing="0" w:line="240" w:lineRule="atLeast"/>
        <w:jc w:val="right"/>
        <w:rPr>
          <w:rStyle w:val="normalchar"/>
          <w:rFonts w:ascii="Arial" w:hAnsi="Arial" w:cs="Arial"/>
          <w:bCs/>
          <w:i/>
          <w:color w:val="000000"/>
          <w:sz w:val="22"/>
          <w:szCs w:val="22"/>
        </w:rPr>
      </w:pPr>
      <w:r w:rsidRPr="00240AAA">
        <w:rPr>
          <w:rStyle w:val="normalchar"/>
          <w:rFonts w:ascii="Arial" w:hAnsi="Arial" w:cs="Arial"/>
          <w:bCs/>
          <w:i/>
          <w:color w:val="000000"/>
          <w:sz w:val="22"/>
          <w:szCs w:val="22"/>
        </w:rPr>
        <w:t xml:space="preserve">Projekt </w:t>
      </w:r>
    </w:p>
    <w:p w14:paraId="552FF773" w14:textId="77777777" w:rsidR="00240AAA" w:rsidRDefault="00240AAA" w:rsidP="00B1063C">
      <w:pPr>
        <w:pStyle w:val="Normalny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</w:pPr>
    </w:p>
    <w:p w14:paraId="2C34DD81" w14:textId="77777777" w:rsidR="00240AAA" w:rsidRDefault="00240AAA" w:rsidP="00B1063C">
      <w:pPr>
        <w:pStyle w:val="Normalny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</w:pPr>
    </w:p>
    <w:p w14:paraId="032278D5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>UCHWAŁA Nr ……………… </w:t>
      </w:r>
    </w:p>
    <w:p w14:paraId="5C82241F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>SEJMIKU WOJEWÓDZTWA PODKARPACKIEGO</w:t>
      </w:r>
    </w:p>
    <w:p w14:paraId="07B0A191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1E32FC2A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z dnia ……………….</w:t>
      </w:r>
    </w:p>
    <w:p w14:paraId="25008B7C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20F3DEAD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 xml:space="preserve">w sprawie przystąpienia Województwa Podkarpackiego </w:t>
      </w:r>
    </w:p>
    <w:p w14:paraId="46B26964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>do Międzynarodowego Stowarzyszenia „EUROMONTANA” </w:t>
      </w:r>
      <w:r w:rsidRPr="00EE60EA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581F34D" w14:textId="77777777" w:rsidR="00B1063C" w:rsidRPr="00EE60EA" w:rsidRDefault="00B1063C" w:rsidP="00663807">
      <w:pPr>
        <w:pStyle w:val="Normalny1"/>
        <w:spacing w:before="240" w:beforeAutospacing="0" w:after="6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Na podstawie art. 18 pkt 14 i art. 76 ust. 3 ustawy z dnia 5 czerwca 1998 roku  o samorządzie województwa (Dz.U. z 2019 poz. 512 z późn.</w:t>
      </w:r>
      <w:r w:rsidR="00663807">
        <w:rPr>
          <w:rStyle w:val="normalchar"/>
          <w:rFonts w:ascii="Arial" w:hAnsi="Arial" w:cs="Arial"/>
          <w:color w:val="000000"/>
          <w:sz w:val="22"/>
          <w:szCs w:val="22"/>
        </w:rPr>
        <w:t xml:space="preserve"> 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 xml:space="preserve">zm.) oraz art. 4 ustawy z dnia  15 września </w:t>
      </w:r>
      <w:r w:rsidR="007351AF">
        <w:rPr>
          <w:rStyle w:val="normalchar"/>
          <w:rFonts w:ascii="Arial" w:hAnsi="Arial" w:cs="Arial"/>
          <w:color w:val="000000"/>
          <w:sz w:val="22"/>
          <w:szCs w:val="22"/>
        </w:rPr>
        <w:br/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 xml:space="preserve">2000 r., o zasadach przystępowania jednostek samorządu terytorialnego  do międzynarodowych zrzeszeń społeczności lokalnych i regionalnych (Dz. U. z 2000 r., </w:t>
      </w:r>
      <w:r w:rsidR="00EE60EA">
        <w:rPr>
          <w:rStyle w:val="normalchar"/>
          <w:rFonts w:ascii="Arial" w:hAnsi="Arial" w:cs="Arial"/>
          <w:color w:val="000000"/>
          <w:sz w:val="22"/>
          <w:szCs w:val="22"/>
        </w:rPr>
        <w:br/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 xml:space="preserve">Nr 91, poz. 1009 z późn. zm.) </w:t>
      </w:r>
    </w:p>
    <w:p w14:paraId="255F9FE0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6085121D" w14:textId="77777777" w:rsidR="00B1063C" w:rsidRPr="00EE60EA" w:rsidRDefault="00B1063C" w:rsidP="00363886">
      <w:pPr>
        <w:pStyle w:val="Normalny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>Sejmik Województwa Podkarpackiego</w:t>
      </w:r>
    </w:p>
    <w:p w14:paraId="6C14D626" w14:textId="77777777" w:rsidR="00B1063C" w:rsidRPr="00EE60EA" w:rsidRDefault="00B1063C" w:rsidP="00363886">
      <w:pPr>
        <w:pStyle w:val="Normalny1"/>
        <w:spacing w:before="0" w:beforeAutospacing="0" w:after="0" w:afterAutospacing="0" w:line="2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b/>
          <w:bCs/>
          <w:color w:val="000000"/>
          <w:sz w:val="22"/>
          <w:szCs w:val="22"/>
        </w:rPr>
        <w:t>uchwala, co następuje:</w:t>
      </w:r>
    </w:p>
    <w:p w14:paraId="7668540E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1B6D9ECA" w14:textId="77777777" w:rsidR="00B1063C" w:rsidRPr="00EE60EA" w:rsidRDefault="00B1063C" w:rsidP="006C1E47">
      <w:pPr>
        <w:pStyle w:val="Normalny1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§</w:t>
      </w:r>
      <w:r w:rsidR="0070275A">
        <w:rPr>
          <w:rStyle w:val="normalchar"/>
          <w:rFonts w:ascii="Arial" w:hAnsi="Arial" w:cs="Arial"/>
          <w:color w:val="000000"/>
          <w:sz w:val="22"/>
          <w:szCs w:val="22"/>
        </w:rPr>
        <w:t xml:space="preserve"> 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1</w:t>
      </w:r>
    </w:p>
    <w:p w14:paraId="57716F0B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ind w:left="28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1.</w:t>
      </w:r>
      <w:r w:rsidRPr="00EE60EA">
        <w:rPr>
          <w:rFonts w:ascii="Arial" w:hAnsi="Arial" w:cs="Arial"/>
          <w:color w:val="000000"/>
          <w:sz w:val="22"/>
          <w:szCs w:val="22"/>
        </w:rPr>
        <w:t>   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Postanawia się o przystąpieniu Województwa Podkarpackiego do Międzynarodowego Stowarzyszenia „EUROMONTANA”.</w:t>
      </w:r>
    </w:p>
    <w:p w14:paraId="35BDD3A9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ind w:left="28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2.</w:t>
      </w:r>
      <w:r w:rsidRPr="00EE60EA">
        <w:rPr>
          <w:rFonts w:ascii="Arial" w:hAnsi="Arial" w:cs="Arial"/>
          <w:color w:val="000000"/>
          <w:sz w:val="22"/>
          <w:szCs w:val="22"/>
        </w:rPr>
        <w:t>   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 xml:space="preserve">Akceptuje się statut Stowarzyszenia, stanowiący załącznik do niniejszej uchwały. </w:t>
      </w:r>
    </w:p>
    <w:p w14:paraId="4E6DCBFE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6537A1B1" w14:textId="77777777" w:rsidR="00B1063C" w:rsidRPr="00EE60EA" w:rsidRDefault="00B1063C" w:rsidP="006C1E47">
      <w:pPr>
        <w:pStyle w:val="Normalny1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§ 2</w:t>
      </w:r>
    </w:p>
    <w:p w14:paraId="2242FC03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Uchwałę wraz ze statutem stowarzyszenia, o którym mowa w §</w:t>
      </w:r>
      <w:r w:rsidR="00682E00">
        <w:rPr>
          <w:rStyle w:val="normalchar"/>
          <w:rFonts w:ascii="Arial" w:hAnsi="Arial" w:cs="Arial"/>
          <w:color w:val="000000"/>
          <w:sz w:val="22"/>
          <w:szCs w:val="22"/>
        </w:rPr>
        <w:t xml:space="preserve"> 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1 ust.</w:t>
      </w:r>
      <w:r w:rsidR="00682E00">
        <w:rPr>
          <w:rStyle w:val="normalchar"/>
          <w:rFonts w:ascii="Arial" w:hAnsi="Arial" w:cs="Arial"/>
          <w:color w:val="000000"/>
          <w:sz w:val="22"/>
          <w:szCs w:val="22"/>
        </w:rPr>
        <w:t xml:space="preserve"> </w:t>
      </w: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 xml:space="preserve">2, listą członków oraz urzędowe tłumaczenie tych dokumentów na język polski, a także „Priorytety  współpracy zagranicznej Województwa Podkarpackiego” przekazuje się za pośrednictwem Wojewody Podkarpackiego do Ministra Spraw Zagranicznych. </w:t>
      </w:r>
    </w:p>
    <w:p w14:paraId="7ECACA77" w14:textId="77777777" w:rsidR="00B1063C" w:rsidRPr="00EE60EA" w:rsidRDefault="00B1063C" w:rsidP="00B1063C">
      <w:pPr>
        <w:pStyle w:val="Normalny1"/>
        <w:spacing w:before="0" w:beforeAutospacing="0" w:after="16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EE60EA">
        <w:rPr>
          <w:rFonts w:ascii="Arial" w:hAnsi="Arial" w:cs="Arial"/>
          <w:color w:val="000000"/>
          <w:sz w:val="22"/>
          <w:szCs w:val="22"/>
        </w:rPr>
        <w:t> </w:t>
      </w:r>
    </w:p>
    <w:p w14:paraId="44C62D18" w14:textId="77777777" w:rsidR="00B1063C" w:rsidRPr="00EE60EA" w:rsidRDefault="00B1063C" w:rsidP="006C1E47">
      <w:pPr>
        <w:pStyle w:val="Normalny1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§ 3</w:t>
      </w:r>
    </w:p>
    <w:p w14:paraId="01BCC0EC" w14:textId="77777777" w:rsidR="00B1063C" w:rsidRPr="00EE60EA" w:rsidRDefault="00B1063C" w:rsidP="006C1E47">
      <w:pPr>
        <w:pStyle w:val="Normalny1"/>
        <w:spacing w:before="0" w:beforeAutospacing="0" w:after="24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Składka roczna zostanie zabezpieczona w budżecie Województwa Podkarpackiego po uzyskaniu zgody Ministra Spraw Zagranicznych na przystąpienie do Stowarzyszenia.</w:t>
      </w:r>
    </w:p>
    <w:p w14:paraId="4141D0FC" w14:textId="77777777" w:rsidR="00B1063C" w:rsidRPr="00EE60EA" w:rsidRDefault="00B1063C" w:rsidP="006C1E47">
      <w:pPr>
        <w:pStyle w:val="Normalny1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§ 4</w:t>
      </w:r>
    </w:p>
    <w:p w14:paraId="14FB36AF" w14:textId="77777777" w:rsidR="00B1063C" w:rsidRDefault="00B1063C" w:rsidP="006C1E47">
      <w:pPr>
        <w:pStyle w:val="Normalny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Uchwała wchodzi w życie po uzyskaniu zgody Ministra Spraw Zagranicznych na przystąpienie do Stowarzyszenia.</w:t>
      </w:r>
    </w:p>
    <w:p w14:paraId="046D879B" w14:textId="77777777" w:rsidR="006C1E47" w:rsidRPr="00EE60EA" w:rsidRDefault="006C1E47" w:rsidP="006C1E47">
      <w:pPr>
        <w:pStyle w:val="Normalny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F80957" w14:textId="77777777" w:rsidR="00EE60EA" w:rsidRPr="00EE60EA" w:rsidRDefault="00B1063C" w:rsidP="006C1E47">
      <w:pPr>
        <w:pStyle w:val="Normalny1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§ 5</w:t>
      </w:r>
    </w:p>
    <w:p w14:paraId="5E8B4C1C" w14:textId="77777777" w:rsidR="00B1063C" w:rsidRPr="00EE60EA" w:rsidRDefault="00B1063C" w:rsidP="00B1063C">
      <w:pPr>
        <w:pStyle w:val="Normalny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E60EA">
        <w:rPr>
          <w:rStyle w:val="normalchar"/>
          <w:rFonts w:ascii="Arial" w:hAnsi="Arial" w:cs="Arial"/>
          <w:color w:val="000000"/>
          <w:sz w:val="22"/>
          <w:szCs w:val="22"/>
        </w:rPr>
        <w:t>Wykonanie uchwały powierza się Zarządowi Województwa Podkarpackiego.</w:t>
      </w:r>
    </w:p>
    <w:p w14:paraId="20F3B19B" w14:textId="77777777" w:rsidR="00A84F1F" w:rsidRDefault="00A84F1F" w:rsidP="00B1063C">
      <w:pPr>
        <w:jc w:val="both"/>
        <w:rPr>
          <w:rFonts w:ascii="Arial" w:hAnsi="Arial" w:cs="Arial"/>
        </w:rPr>
      </w:pPr>
    </w:p>
    <w:p w14:paraId="3FF13C35" w14:textId="77777777" w:rsidR="00A671DF" w:rsidRDefault="00A671DF" w:rsidP="00B1063C">
      <w:pPr>
        <w:jc w:val="both"/>
        <w:rPr>
          <w:rFonts w:ascii="Arial" w:hAnsi="Arial" w:cs="Arial"/>
        </w:rPr>
      </w:pPr>
    </w:p>
    <w:p w14:paraId="249FA03C" w14:textId="77777777" w:rsidR="00A671DF" w:rsidRDefault="00A671DF" w:rsidP="00B1063C">
      <w:pPr>
        <w:jc w:val="both"/>
        <w:rPr>
          <w:rFonts w:ascii="Arial" w:hAnsi="Arial" w:cs="Arial"/>
        </w:rPr>
      </w:pPr>
    </w:p>
    <w:p w14:paraId="1AD2F59E" w14:textId="77777777" w:rsidR="00530AC3" w:rsidRPr="00530AC3" w:rsidRDefault="00530AC3" w:rsidP="00530AC3">
      <w:pPr>
        <w:jc w:val="right"/>
        <w:rPr>
          <w:rFonts w:ascii="Arial" w:hAnsi="Arial" w:cs="Arial"/>
          <w:i/>
        </w:rPr>
      </w:pPr>
      <w:r w:rsidRPr="00530AC3">
        <w:rPr>
          <w:rFonts w:ascii="Arial" w:hAnsi="Arial" w:cs="Arial"/>
          <w:i/>
        </w:rPr>
        <w:lastRenderedPageBreak/>
        <w:t>Projekt</w:t>
      </w:r>
    </w:p>
    <w:p w14:paraId="2A255D61" w14:textId="77777777" w:rsidR="00530AC3" w:rsidRDefault="00530AC3" w:rsidP="00530AC3">
      <w:pPr>
        <w:spacing w:line="240" w:lineRule="auto"/>
        <w:jc w:val="center"/>
        <w:rPr>
          <w:rFonts w:ascii="Arial" w:hAnsi="Arial" w:cs="Arial"/>
          <w:b/>
        </w:rPr>
      </w:pPr>
    </w:p>
    <w:p w14:paraId="767C27CE" w14:textId="77777777" w:rsidR="00530AC3" w:rsidRDefault="00530AC3" w:rsidP="00530AC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140FF450" w14:textId="77777777" w:rsidR="00530AC3" w:rsidRDefault="00530AC3" w:rsidP="00530A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Stowarzyszenie EUROMONTANA, to wielosektorowe stowarzyszenie działające na rzecz współpracy i rozwoju obszarów górskich, którego misją jest promowanie terenów górskich, zintegrowanego i zrównoważonego rozwoju oraz popraw</w:t>
      </w:r>
      <w:r w:rsidR="0099456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warunków życia ludności zamieszkując</w:t>
      </w:r>
      <w:r w:rsidR="00994562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obszary górskie w Europie. Stowarzyszenie zostało utworzone </w:t>
      </w:r>
      <w:r>
        <w:rPr>
          <w:rFonts w:ascii="Arial" w:hAnsi="Arial" w:cs="Arial"/>
        </w:rPr>
        <w:br/>
        <w:t>w 1996 r. jako organizacja non-profit o charakterze naukowym. Początki tej europejskiej sieci sięgają roku 1953, kiedy to Organizacja Narodów Zjednoczonych ds. Wyżywienia i Rolnictwa (</w:t>
      </w:r>
      <w:r>
        <w:rPr>
          <w:rFonts w:ascii="Arial" w:hAnsi="Arial" w:cs="Arial"/>
          <w:i/>
          <w:iCs/>
        </w:rPr>
        <w:t xml:space="preserve">Food and </w:t>
      </w:r>
      <w:proofErr w:type="spellStart"/>
      <w:r>
        <w:rPr>
          <w:rFonts w:ascii="Arial" w:hAnsi="Arial" w:cs="Arial"/>
          <w:i/>
          <w:iCs/>
        </w:rPr>
        <w:t>Agriculture</w:t>
      </w:r>
      <w:proofErr w:type="spellEnd"/>
      <w:r>
        <w:rPr>
          <w:rFonts w:ascii="Arial" w:hAnsi="Arial" w:cs="Arial"/>
          <w:i/>
          <w:iCs/>
        </w:rPr>
        <w:t xml:space="preserve"> Organization of the United Nations</w:t>
      </w:r>
      <w:r>
        <w:rPr>
          <w:rFonts w:ascii="Arial" w:hAnsi="Arial" w:cs="Arial"/>
        </w:rPr>
        <w:t>, </w:t>
      </w:r>
      <w:r>
        <w:rPr>
          <w:rFonts w:ascii="Arial" w:hAnsi="Arial" w:cs="Arial"/>
          <w:bCs/>
        </w:rPr>
        <w:t>FAO)</w:t>
      </w:r>
      <w:r>
        <w:rPr>
          <w:rFonts w:ascii="Arial" w:hAnsi="Arial" w:cs="Arial"/>
        </w:rPr>
        <w:t xml:space="preserve"> zaangażowała się </w:t>
      </w:r>
      <w:r>
        <w:rPr>
          <w:rFonts w:ascii="Arial" w:hAnsi="Arial" w:cs="Arial"/>
        </w:rPr>
        <w:br/>
        <w:t>w finansowanie konferencji nt. rolnictwa górskiego.</w:t>
      </w:r>
      <w:r w:rsidR="00B40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1974 r. Konfederacja Rolnictwa Europejskiego (</w:t>
      </w:r>
      <w:proofErr w:type="spellStart"/>
      <w:r>
        <w:rPr>
          <w:rFonts w:ascii="Arial" w:hAnsi="Arial" w:cs="Arial"/>
          <w:i/>
        </w:rPr>
        <w:t>Confederation</w:t>
      </w:r>
      <w:proofErr w:type="spellEnd"/>
      <w:r>
        <w:rPr>
          <w:rFonts w:ascii="Arial" w:hAnsi="Arial" w:cs="Arial"/>
          <w:i/>
        </w:rPr>
        <w:t xml:space="preserve"> of </w:t>
      </w:r>
      <w:proofErr w:type="spellStart"/>
      <w:r>
        <w:rPr>
          <w:rFonts w:ascii="Arial" w:hAnsi="Arial" w:cs="Arial"/>
          <w:i/>
        </w:rPr>
        <w:t>European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Agriculture</w:t>
      </w:r>
      <w:proofErr w:type="spellEnd"/>
      <w:r>
        <w:rPr>
          <w:rFonts w:ascii="Arial" w:hAnsi="Arial" w:cs="Arial"/>
        </w:rPr>
        <w:t>, CEA) utworzyła stałą grupę roboczą ds. „kwestii społeczno-gospodarczych w regionach górskich". Grupa ta, którą nazwano „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", składała się z przedstawicieli rolnictwa z krajów alpejskich i pirenejskich oraz kontynuowała inicjatywę kolejnych spotkań konferencyjnych odbywających się co dwa lata. </w:t>
      </w:r>
      <w:r w:rsidR="00561C16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1994 roku 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 postanowiła nawiązać nowe stosunki z krajami Europy Środkowej i Wschodniej i włączyć do nich przedstawicieli innych sektorów niż rolnictwo, takich jak rozwój obszarów wiejskich i środowisko naturalne. W 1995 roku gospodarzem kolejnej konferencji górskiej </w:t>
      </w:r>
      <w:proofErr w:type="spellStart"/>
      <w:r>
        <w:rPr>
          <w:rFonts w:ascii="Arial" w:hAnsi="Arial" w:cs="Arial"/>
        </w:rPr>
        <w:t>Euromontany</w:t>
      </w:r>
      <w:proofErr w:type="spellEnd"/>
      <w:r>
        <w:rPr>
          <w:rFonts w:ascii="Arial" w:hAnsi="Arial" w:cs="Arial"/>
        </w:rPr>
        <w:t xml:space="preserve"> była Polska</w:t>
      </w:r>
      <w:r w:rsidR="006D1324">
        <w:rPr>
          <w:rFonts w:ascii="Arial" w:hAnsi="Arial" w:cs="Arial"/>
        </w:rPr>
        <w:t xml:space="preserve">. Spotkanie odbyło się wówczas </w:t>
      </w:r>
      <w:r>
        <w:rPr>
          <w:rFonts w:ascii="Arial" w:hAnsi="Arial" w:cs="Arial"/>
        </w:rPr>
        <w:t xml:space="preserve">w Krakowie oraz odniosło tak duży sukces, że postanowiono utworzyć stowarzyszenie 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 jako niezależny podmiot prawny. Przedstawiciele 14 narodów europejskich (Albania, Bułgaria, Szkocja, hiszpański Kraj Basków, Francja, Grecja, Włochy, Macedonia, Polska, Rumunia, Słowacja, Słowenia, Szwajcaria, Czechy), którzy zebr</w:t>
      </w:r>
      <w:r w:rsidR="006D1324">
        <w:rPr>
          <w:rFonts w:ascii="Arial" w:hAnsi="Arial" w:cs="Arial"/>
        </w:rPr>
        <w:t xml:space="preserve">ali się </w:t>
      </w:r>
      <w:r>
        <w:rPr>
          <w:rFonts w:ascii="Arial" w:hAnsi="Arial" w:cs="Arial"/>
        </w:rPr>
        <w:t xml:space="preserve">w Rzymie 4 marca 1996 r. zadeklarowali się jako członkowie założyciele stowarzyszenia. Dziś sieć zrzesza około 75 różnych organizacji członkowskich z takich krajów europejskich jak m.in. : Andora, Bułgaria, Chorwacja, Czechy, Francja, Grecja, Włochy, Macedonia, Norwegia, Portugalia, Rumunia, Słowenia, Hiszpania, Szwajcaria, Zjednoczone Królestwo Wielkiej Brytanii i Irlandii Północnej. Stowarzyszenie zarządzane jest przez ogólne zgromadzenie, które składa się z delegatów reprezentujących każdą z organizacji członkowskich. Zarząd </w:t>
      </w:r>
      <w:proofErr w:type="spellStart"/>
      <w:r>
        <w:rPr>
          <w:rFonts w:ascii="Arial" w:hAnsi="Arial" w:cs="Arial"/>
        </w:rPr>
        <w:t>Euromontany</w:t>
      </w:r>
      <w:proofErr w:type="spellEnd"/>
      <w:r>
        <w:rPr>
          <w:rFonts w:ascii="Arial" w:hAnsi="Arial" w:cs="Arial"/>
        </w:rPr>
        <w:t xml:space="preserve"> wybierany jest przez ogólne zgromadzenie delegatów na okres 4 lat. Obecnie na czele </w:t>
      </w:r>
      <w:proofErr w:type="spellStart"/>
      <w:r>
        <w:rPr>
          <w:rFonts w:ascii="Arial" w:hAnsi="Arial" w:cs="Arial"/>
        </w:rPr>
        <w:t>Euromontany</w:t>
      </w:r>
      <w:proofErr w:type="spellEnd"/>
      <w:r>
        <w:rPr>
          <w:rFonts w:ascii="Arial" w:hAnsi="Arial" w:cs="Arial"/>
        </w:rPr>
        <w:t xml:space="preserve"> stoi Juan-Andres Gutierrez, z ramienia Rządu Kraju Basków (Hiszpania).</w:t>
      </w:r>
    </w:p>
    <w:p w14:paraId="431C58E2" w14:textId="77777777" w:rsidR="00530AC3" w:rsidRDefault="00530AC3" w:rsidP="00530A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EUROMONTANA podejmuje konkretne działania, aby wypełniać swoje cele statutowe. Przede wszystkim reprezentuje społeczności górskie, utrzymując regularne kontakty z instytucjami europejskimi, rządami krajowymi i organizacjami międzyrządowymi poprzez przedstawienie konstruktywnych propozycji podczas przeglądu polityk europejskich, które mają wpływ na obszary górskie. Ponadto stowarzyszenie promuje mocne strony obszarów górskich i wartości, jakie mają one dla Europy w postaci zrównoważonych inwestycji na tych obszarach. W tym celu organizowane są wydarzenia takie jak konferencje, seminaria, spotkania, konwencje itp. oraz publikowane są artykuły i raporty. EUROMONTANA koordynuje współpracę pomiędzy podmiotami związanymi z obszarami górskimi, rozwijając i zarządzając europejskimi projektami z zakresu badań, współpracy terytorialnej, szkoleń czy wymiany doświadczeń. Stowar</w:t>
      </w:r>
      <w:r w:rsidR="00561C16">
        <w:rPr>
          <w:rFonts w:ascii="Arial" w:hAnsi="Arial" w:cs="Arial"/>
        </w:rPr>
        <w:t xml:space="preserve">zyszenie prowadzi, uczestniczy </w:t>
      </w:r>
      <w:r>
        <w:rPr>
          <w:rFonts w:ascii="Arial" w:hAnsi="Arial" w:cs="Arial"/>
        </w:rPr>
        <w:t>i opracowuje badania, które pogłębiają wiedzę na temat sytuacji na obszarach górskich oraz kierunków ich zrównoważonego rozwoju. Dodatkowo uczestniczy w dyskusjach oraz wymianie poglądów  między europejskimi członkami stowarzyszenia na temat działań priorytetowych z zakresu tematyki górskiej. Stowarzyszenie mając na celu poprawę warunków życia ludności zamieszkując</w:t>
      </w:r>
      <w:r w:rsidR="004E6E7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obszary górskie w Europie, swoje działania skupia głównie poprzez:</w:t>
      </w:r>
    </w:p>
    <w:p w14:paraId="318ABC4E" w14:textId="77777777" w:rsidR="00530AC3" w:rsidRDefault="00530AC3" w:rsidP="00530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propagowanie i ochronę interesów kulturowych, gospodarczych, politycznych </w:t>
      </w:r>
      <w:r>
        <w:rPr>
          <w:rFonts w:ascii="Arial" w:hAnsi="Arial" w:cs="Arial"/>
        </w:rPr>
        <w:br/>
        <w:t>i naukowych ludności zamieszkują</w:t>
      </w:r>
      <w:r w:rsidR="00A021C2">
        <w:rPr>
          <w:rFonts w:ascii="Arial" w:hAnsi="Arial" w:cs="Arial"/>
        </w:rPr>
        <w:t>cej</w:t>
      </w:r>
      <w:r>
        <w:rPr>
          <w:rFonts w:ascii="Arial" w:hAnsi="Arial" w:cs="Arial"/>
        </w:rPr>
        <w:t xml:space="preserve"> obszary górskie w ramach Unii Europejskiej, rządów Państw Członkowskich, organizacji zajmujących się polityką kulturową, społeczną, gospodarczą i innych instytucji zaangażowanych w problemy obszarów górskich;</w:t>
      </w:r>
    </w:p>
    <w:p w14:paraId="3266CCE3" w14:textId="77777777" w:rsidR="00530AC3" w:rsidRDefault="00530AC3" w:rsidP="00530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optymalizację badań z zakresu obszarów górskich na poziomie lokalnym, regionalnym, krajowym i sektorowym. Szczególną uwagą objęte jest rolnictwo, leśnictwo i ochrona środowiska;</w:t>
      </w:r>
    </w:p>
    <w:p w14:paraId="2CCEDE0F" w14:textId="77777777" w:rsidR="00530AC3" w:rsidRDefault="00530AC3" w:rsidP="00530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informowanie opinii publicznej o problemach obszarów górskich oraz wydawanie publikacji;</w:t>
      </w:r>
    </w:p>
    <w:p w14:paraId="1729A4C4" w14:textId="77777777" w:rsidR="00530AC3" w:rsidRDefault="00530AC3" w:rsidP="00530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kształcenia i badań naukowych w obszarach górskich oraz analizę problemów gospodarczych, społecznych i ekologicznych w Europie oraz w obszarach górskich z perspektywy ludności zamieszkując</w:t>
      </w:r>
      <w:r w:rsidR="00293A4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obszary górskie;</w:t>
      </w:r>
    </w:p>
    <w:p w14:paraId="33A2B956" w14:textId="77777777" w:rsidR="00530AC3" w:rsidRDefault="00530AC3" w:rsidP="00530A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współpracę międzynarodową celem ograniczenia nierówności między regionami górskimi w Europie.</w:t>
      </w:r>
    </w:p>
    <w:p w14:paraId="04ACF2AF" w14:textId="77777777" w:rsidR="00530AC3" w:rsidRDefault="00530AC3" w:rsidP="00530AC3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Przystąpienie województwa podkarpackiego do Międzynarodowego Stowarzyszenia EUROMONTANA, będzie przyczyniać się do dalszego wzrostu rozwoju makroregionu Karpat. Biorąc pod uwagę fakt, iż Podkarpacie to region o silnym potencjale gospodarczym, położony w Karpatach, które są obszarem o unikatowych zasobach, takich jak bogactwo przyrodnicze, unikalne wielokulturowe dziedzictwo, zasoby ludzkie oraz wspólna tożsamość społeczności górskich, członkostwo w tego rodzaju stowarzyszeniu wpłynie pozytywnie na lepszą kondycję regionu w wymi</w:t>
      </w:r>
      <w:r w:rsidR="004668F8">
        <w:rPr>
          <w:rFonts w:ascii="Arial" w:hAnsi="Arial" w:cs="Arial"/>
        </w:rPr>
        <w:t xml:space="preserve">arze środowiskowym, społecznym </w:t>
      </w:r>
      <w:r>
        <w:rPr>
          <w:rFonts w:ascii="Arial" w:hAnsi="Arial" w:cs="Arial"/>
        </w:rPr>
        <w:t xml:space="preserve">i ekonomicznym, które postrzegane są przez EUROMONTANĘ jako trzy fundamentalne filary zrównoważonego rozwoju. </w:t>
      </w:r>
    </w:p>
    <w:p w14:paraId="79E6E043" w14:textId="77777777" w:rsidR="00530AC3" w:rsidRDefault="00530AC3" w:rsidP="00530AC3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Przynależność do sieci 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 wpisuje się ponadto w szereg działań na rzecz utworzenia Strategii makroregionalnej dla regionu Karpat, która ma istotne znaczenie dla naszego regionu, umożliwi zacieśnianie więzi transgranicznych oraz będzie sprzyjać mocniejszej integracji społeczności lokalnych w makroregionie karpackim poprzez m.in. wspólny rozwój oraz ochronę środowiska i dziedzictwa kulturowego. Aktywność Województwa Podkarpackiego w tym obszarze doprowadziła do przyjęcia w grudniu 2019 r. przez Komitet Regionów opinii nt. utworzenia Strategii makroregionalnej dla regionu Karpat.</w:t>
      </w:r>
    </w:p>
    <w:p w14:paraId="29366F7D" w14:textId="77777777" w:rsidR="00530AC3" w:rsidRDefault="00530AC3" w:rsidP="00530AC3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Dotychczasowe inicjatywy podejmowane przez Województwo Podkarpackie doskonale wpisują się w rodzaj i charakter działań podejmowanych przez stowarzyszenie 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 oraz są zgodne z jego polityką i założeniami. </w:t>
      </w:r>
    </w:p>
    <w:p w14:paraId="285FDFB6" w14:textId="77777777" w:rsidR="00530AC3" w:rsidRDefault="00530AC3" w:rsidP="00530AC3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Podkarpacie aktywnie działa na rzecz rozwoju obszarów górskich. Jednym </w:t>
      </w:r>
      <w:r>
        <w:rPr>
          <w:rFonts w:ascii="Arial" w:hAnsi="Arial" w:cs="Arial"/>
        </w:rPr>
        <w:br/>
        <w:t>z realizowanych projektów w tym zakresie jest projekt pn. „Zasoby kulturowe na obszarach górskich” (</w:t>
      </w:r>
      <w:proofErr w:type="spellStart"/>
      <w:r>
        <w:rPr>
          <w:rFonts w:ascii="Arial" w:eastAsia="Times New Roman" w:hAnsi="Arial" w:cs="Arial"/>
          <w:i/>
          <w:lang w:eastAsia="pl-PL"/>
        </w:rPr>
        <w:t>Cultural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lang w:eastAsia="pl-PL"/>
        </w:rPr>
        <w:t>resources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in the </w:t>
      </w:r>
      <w:proofErr w:type="spellStart"/>
      <w:r>
        <w:rPr>
          <w:rFonts w:ascii="Arial" w:eastAsia="Times New Roman" w:hAnsi="Arial" w:cs="Arial"/>
          <w:i/>
          <w:lang w:eastAsia="pl-PL"/>
        </w:rPr>
        <w:t>mountain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lang w:eastAsia="pl-PL"/>
        </w:rPr>
        <w:t>areas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pl-PL"/>
        </w:rPr>
        <w:t>CRinMA</w:t>
      </w:r>
      <w:proofErr w:type="spellEnd"/>
      <w:r>
        <w:rPr>
          <w:rFonts w:ascii="Arial" w:eastAsia="Times New Roman" w:hAnsi="Arial" w:cs="Arial"/>
          <w:lang w:eastAsia="pl-PL"/>
        </w:rPr>
        <w:t xml:space="preserve">), realizowany w okresie 1.07.2017 – 30.06.2021 ze środków Unii Europejskiej w ramach programu </w:t>
      </w:r>
      <w:proofErr w:type="spellStart"/>
      <w:r>
        <w:rPr>
          <w:rFonts w:ascii="Arial" w:eastAsia="Times New Roman" w:hAnsi="Arial" w:cs="Arial"/>
          <w:lang w:eastAsia="pl-PL"/>
        </w:rPr>
        <w:t>Interreg</w:t>
      </w:r>
      <w:proofErr w:type="spellEnd"/>
      <w:r>
        <w:rPr>
          <w:rFonts w:ascii="Arial" w:eastAsia="Times New Roman" w:hAnsi="Arial" w:cs="Arial"/>
          <w:lang w:eastAsia="pl-PL"/>
        </w:rPr>
        <w:t xml:space="preserve"> Europa </w:t>
      </w:r>
      <w:r w:rsidR="00C438F4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(4. oś priorytetowa: Środowisko i efektywne gospodarowanie zasobami). Partnerami projektu są: Województwo Małopolskie – lider projektu (Polska), Województwo Podkarpackie (Polska), Regionalna Agencja Rozwoju Kraju </w:t>
      </w:r>
      <w:proofErr w:type="spellStart"/>
      <w:r>
        <w:rPr>
          <w:rFonts w:ascii="Arial" w:eastAsia="Times New Roman" w:hAnsi="Arial" w:cs="Arial"/>
          <w:lang w:eastAsia="pl-PL"/>
        </w:rPr>
        <w:t>Preszowskiego</w:t>
      </w:r>
      <w:proofErr w:type="spellEnd"/>
      <w:r>
        <w:rPr>
          <w:rFonts w:ascii="Arial" w:eastAsia="Times New Roman" w:hAnsi="Arial" w:cs="Arial"/>
          <w:lang w:eastAsia="pl-PL"/>
        </w:rPr>
        <w:t xml:space="preserve"> (Słowacja), Gmina </w:t>
      </w:r>
      <w:proofErr w:type="spellStart"/>
      <w:r>
        <w:rPr>
          <w:rFonts w:ascii="Arial" w:eastAsia="Times New Roman" w:hAnsi="Arial" w:cs="Arial"/>
          <w:lang w:eastAsia="pl-PL"/>
        </w:rPr>
        <w:t>Montalegre</w:t>
      </w:r>
      <w:proofErr w:type="spellEnd"/>
      <w:r>
        <w:rPr>
          <w:rFonts w:ascii="Arial" w:eastAsia="Times New Roman" w:hAnsi="Arial" w:cs="Arial"/>
          <w:lang w:eastAsia="pl-PL"/>
        </w:rPr>
        <w:t xml:space="preserve"> (Portugalia), Instytut Rozwoju Gospodarczego Prowincji </w:t>
      </w:r>
      <w:proofErr w:type="spellStart"/>
      <w:r>
        <w:rPr>
          <w:rFonts w:ascii="Arial" w:eastAsia="Times New Roman" w:hAnsi="Arial" w:cs="Arial"/>
          <w:lang w:eastAsia="pl-PL"/>
        </w:rPr>
        <w:t>Ourense</w:t>
      </w:r>
      <w:proofErr w:type="spellEnd"/>
      <w:r>
        <w:rPr>
          <w:rFonts w:ascii="Arial" w:eastAsia="Times New Roman" w:hAnsi="Arial" w:cs="Arial"/>
          <w:lang w:eastAsia="pl-PL"/>
        </w:rPr>
        <w:t xml:space="preserve"> (Hiszpania), UNCEM Piemont (Włochy).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Celem projektu </w:t>
      </w:r>
      <w:proofErr w:type="spellStart"/>
      <w:r>
        <w:rPr>
          <w:rFonts w:ascii="Arial" w:eastAsia="Times New Roman" w:hAnsi="Arial" w:cs="Arial"/>
          <w:lang w:eastAsia="pl-PL"/>
        </w:rPr>
        <w:t>CRinMA</w:t>
      </w:r>
      <w:proofErr w:type="spellEnd"/>
      <w:r>
        <w:rPr>
          <w:rFonts w:ascii="Arial" w:eastAsia="Times New Roman" w:hAnsi="Arial" w:cs="Arial"/>
          <w:lang w:eastAsia="pl-PL"/>
        </w:rPr>
        <w:t xml:space="preserve"> jest zapewnienie skutecznej ochrony dziedzictwa kulturowego na obszarach górskich, zarówno w materialnym jak i niematerialnym wymiarze. </w:t>
      </w:r>
    </w:p>
    <w:p w14:paraId="0115FFAB" w14:textId="77777777" w:rsidR="00530AC3" w:rsidRDefault="00530AC3" w:rsidP="00530A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Kolejnym projektem realizowanym przez województwo podkarpackie, którego celem </w:t>
      </w:r>
      <w:r>
        <w:rPr>
          <w:rFonts w:ascii="Arial" w:hAnsi="Arial" w:cs="Arial"/>
        </w:rPr>
        <w:t>jest</w:t>
      </w:r>
      <w:r>
        <w:rPr>
          <w:rFonts w:ascii="Arial" w:eastAsia="Calibri" w:hAnsi="Arial" w:cs="Arial"/>
        </w:rPr>
        <w:t xml:space="preserve"> promowanie i ochrona dziedzictwa przyrodniczego i kulturowego Karpat </w:t>
      </w:r>
      <w:r>
        <w:rPr>
          <w:rFonts w:ascii="Arial" w:hAnsi="Arial" w:cs="Arial"/>
        </w:rPr>
        <w:t xml:space="preserve">jest projekt pn. </w:t>
      </w:r>
      <w:r>
        <w:rPr>
          <w:rFonts w:ascii="Arial" w:eastAsia="Calibri" w:hAnsi="Arial" w:cs="Arial"/>
          <w:bCs/>
        </w:rPr>
        <w:t>„Szlak karpacki - odkrywanie, promocja i ochrona bogactwa kulturowego i przyrodniczego regionu Karpat”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(</w:t>
      </w:r>
      <w:r>
        <w:rPr>
          <w:rFonts w:ascii="Arial" w:eastAsia="Calibri" w:hAnsi="Arial" w:cs="Arial"/>
          <w:i/>
        </w:rPr>
        <w:t>„</w:t>
      </w:r>
      <w:proofErr w:type="spellStart"/>
      <w:r>
        <w:rPr>
          <w:rFonts w:ascii="Arial" w:eastAsia="Calibri" w:hAnsi="Arial" w:cs="Arial"/>
          <w:i/>
        </w:rPr>
        <w:t>Carpathian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Route</w:t>
      </w:r>
      <w:proofErr w:type="spellEnd"/>
      <w:r>
        <w:rPr>
          <w:rFonts w:ascii="Arial" w:eastAsia="Calibri" w:hAnsi="Arial" w:cs="Arial"/>
          <w:i/>
        </w:rPr>
        <w:t xml:space="preserve"> – </w:t>
      </w:r>
      <w:proofErr w:type="spellStart"/>
      <w:r>
        <w:rPr>
          <w:rFonts w:ascii="Arial" w:eastAsia="Calibri" w:hAnsi="Arial" w:cs="Arial"/>
          <w:i/>
        </w:rPr>
        <w:t>exploring</w:t>
      </w:r>
      <w:proofErr w:type="spellEnd"/>
      <w:r>
        <w:rPr>
          <w:rFonts w:ascii="Arial" w:eastAsia="Calibri" w:hAnsi="Arial" w:cs="Arial"/>
          <w:i/>
        </w:rPr>
        <w:t xml:space="preserve">, </w:t>
      </w:r>
      <w:proofErr w:type="spellStart"/>
      <w:r>
        <w:rPr>
          <w:rFonts w:ascii="Arial" w:eastAsia="Calibri" w:hAnsi="Arial" w:cs="Arial"/>
          <w:i/>
        </w:rPr>
        <w:t>promoting</w:t>
      </w:r>
      <w:proofErr w:type="spellEnd"/>
      <w:r>
        <w:rPr>
          <w:rFonts w:ascii="Arial" w:eastAsia="Calibri" w:hAnsi="Arial" w:cs="Arial"/>
          <w:i/>
        </w:rPr>
        <w:t xml:space="preserve"> and </w:t>
      </w:r>
      <w:proofErr w:type="spellStart"/>
      <w:r>
        <w:rPr>
          <w:rFonts w:ascii="Arial" w:eastAsia="Calibri" w:hAnsi="Arial" w:cs="Arial"/>
          <w:i/>
        </w:rPr>
        <w:t>protecting</w:t>
      </w:r>
      <w:proofErr w:type="spellEnd"/>
      <w:r>
        <w:rPr>
          <w:rFonts w:ascii="Arial" w:eastAsia="Calibri" w:hAnsi="Arial" w:cs="Arial"/>
          <w:i/>
        </w:rPr>
        <w:t xml:space="preserve"> the </w:t>
      </w:r>
      <w:proofErr w:type="spellStart"/>
      <w:r>
        <w:rPr>
          <w:rFonts w:ascii="Arial" w:eastAsia="Calibri" w:hAnsi="Arial" w:cs="Arial"/>
          <w:i/>
        </w:rPr>
        <w:t>richness</w:t>
      </w:r>
      <w:proofErr w:type="spellEnd"/>
      <w:r>
        <w:rPr>
          <w:rFonts w:ascii="Arial" w:eastAsia="Calibri" w:hAnsi="Arial" w:cs="Arial"/>
          <w:i/>
        </w:rPr>
        <w:t xml:space="preserve"> of the </w:t>
      </w:r>
      <w:proofErr w:type="spellStart"/>
      <w:r>
        <w:rPr>
          <w:rFonts w:ascii="Arial" w:eastAsia="Calibri" w:hAnsi="Arial" w:cs="Arial"/>
          <w:i/>
        </w:rPr>
        <w:t>cultural</w:t>
      </w:r>
      <w:proofErr w:type="spellEnd"/>
      <w:r>
        <w:rPr>
          <w:rFonts w:ascii="Arial" w:eastAsia="Calibri" w:hAnsi="Arial" w:cs="Arial"/>
          <w:i/>
        </w:rPr>
        <w:t xml:space="preserve"> and </w:t>
      </w:r>
      <w:proofErr w:type="spellStart"/>
      <w:r>
        <w:rPr>
          <w:rFonts w:ascii="Arial" w:eastAsia="Calibri" w:hAnsi="Arial" w:cs="Arial"/>
          <w:i/>
        </w:rPr>
        <w:t>natural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heritage</w:t>
      </w:r>
      <w:proofErr w:type="spellEnd"/>
      <w:r>
        <w:rPr>
          <w:rFonts w:ascii="Arial" w:eastAsia="Calibri" w:hAnsi="Arial" w:cs="Arial"/>
          <w:i/>
        </w:rPr>
        <w:t xml:space="preserve"> of the </w:t>
      </w:r>
      <w:proofErr w:type="spellStart"/>
      <w:r>
        <w:rPr>
          <w:rFonts w:ascii="Arial" w:eastAsia="Calibri" w:hAnsi="Arial" w:cs="Arial"/>
          <w:i/>
        </w:rPr>
        <w:t>Carpathian</w:t>
      </w:r>
      <w:proofErr w:type="spellEnd"/>
      <w:r>
        <w:rPr>
          <w:rFonts w:ascii="Arial" w:eastAsia="Calibri" w:hAnsi="Arial" w:cs="Arial"/>
          <w:i/>
        </w:rPr>
        <w:t xml:space="preserve"> Region”</w:t>
      </w:r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 xml:space="preserve">realizowany </w:t>
      </w:r>
      <w:r>
        <w:rPr>
          <w:rFonts w:ascii="Arial" w:eastAsia="Calibri" w:hAnsi="Arial" w:cs="Arial"/>
        </w:rPr>
        <w:t>w ramach III edycji Funduszy Norweskich i EOG</w:t>
      </w:r>
      <w:r>
        <w:rPr>
          <w:rFonts w:ascii="Arial" w:hAnsi="Arial" w:cs="Arial"/>
        </w:rPr>
        <w:t xml:space="preserve">. </w:t>
      </w:r>
    </w:p>
    <w:p w14:paraId="43FDFF97" w14:textId="77777777" w:rsidR="00530AC3" w:rsidRDefault="00530AC3" w:rsidP="00530AC3">
      <w:pPr>
        <w:spacing w:after="0" w:line="240" w:lineRule="auto"/>
        <w:ind w:firstLine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realizowany jest w partnerstwie podmiotów pochodzących z terenu objętego Konwencją Karpacką oraz z Państw Darczyńców tj.: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Województwo Podkarpackie</w:t>
      </w:r>
      <w:r>
        <w:rPr>
          <w:rFonts w:ascii="Arial" w:hAnsi="Arial" w:cs="Arial"/>
        </w:rPr>
        <w:t xml:space="preserve">, Polska (partner wiodący); </w:t>
      </w:r>
      <w:r>
        <w:rPr>
          <w:rFonts w:ascii="Arial" w:eastAsia="Calibri" w:hAnsi="Arial" w:cs="Arial"/>
        </w:rPr>
        <w:t>Sekretariat Konwencji Karpacki</w:t>
      </w:r>
      <w:r>
        <w:rPr>
          <w:rFonts w:ascii="Arial" w:hAnsi="Arial" w:cs="Arial"/>
        </w:rPr>
        <w:t xml:space="preserve">ej, Austria (partner ekspercki); </w:t>
      </w:r>
      <w:r>
        <w:rPr>
          <w:rFonts w:ascii="Arial" w:eastAsia="Calibri" w:hAnsi="Arial" w:cs="Arial"/>
        </w:rPr>
        <w:t xml:space="preserve">International </w:t>
      </w:r>
      <w:proofErr w:type="spellStart"/>
      <w:r>
        <w:rPr>
          <w:rFonts w:ascii="Arial" w:eastAsia="Calibri" w:hAnsi="Arial" w:cs="Arial"/>
        </w:rPr>
        <w:t>Charitable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Organisation</w:t>
      </w:r>
      <w:proofErr w:type="spellEnd"/>
      <w:r>
        <w:rPr>
          <w:rFonts w:ascii="Arial" w:eastAsia="Calibri" w:hAnsi="Arial" w:cs="Arial"/>
        </w:rPr>
        <w:t xml:space="preserve"> Information Center „Green Dossier”, </w:t>
      </w:r>
      <w:r>
        <w:rPr>
          <w:rFonts w:ascii="Arial" w:hAnsi="Arial" w:cs="Arial"/>
        </w:rPr>
        <w:t xml:space="preserve">Ukraina (partner merytoryczny); </w:t>
      </w:r>
      <w:proofErr w:type="spellStart"/>
      <w:r>
        <w:rPr>
          <w:rFonts w:ascii="Arial" w:eastAsia="Calibri" w:hAnsi="Arial" w:cs="Arial"/>
        </w:rPr>
        <w:t>Brasov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County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Council</w:t>
      </w:r>
      <w:proofErr w:type="spellEnd"/>
      <w:r>
        <w:rPr>
          <w:rFonts w:ascii="Arial" w:eastAsia="Calibri" w:hAnsi="Arial" w:cs="Arial"/>
        </w:rPr>
        <w:t xml:space="preserve">, Rumunia (partner merytoryczny); The </w:t>
      </w:r>
      <w:proofErr w:type="spellStart"/>
      <w:r>
        <w:rPr>
          <w:rFonts w:ascii="Arial" w:eastAsia="Calibri" w:hAnsi="Arial" w:cs="Arial"/>
        </w:rPr>
        <w:t>Homeland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 xml:space="preserve"> </w:t>
      </w:r>
      <w:r w:rsidR="00B9596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of </w:t>
      </w:r>
      <w:proofErr w:type="spellStart"/>
      <w:r>
        <w:rPr>
          <w:rFonts w:ascii="Arial" w:eastAsia="Calibri" w:hAnsi="Arial" w:cs="Arial"/>
        </w:rPr>
        <w:t>Knjaževac</w:t>
      </w:r>
      <w:proofErr w:type="spellEnd"/>
      <w:r>
        <w:rPr>
          <w:rFonts w:ascii="Arial" w:eastAsia="Calibri" w:hAnsi="Arial" w:cs="Arial"/>
        </w:rPr>
        <w:t xml:space="preserve">, Serbia (partner merytoryczny); </w:t>
      </w:r>
      <w:proofErr w:type="spellStart"/>
      <w:r>
        <w:rPr>
          <w:rFonts w:ascii="Arial" w:eastAsia="Calibri" w:hAnsi="Arial" w:cs="Arial"/>
        </w:rPr>
        <w:t>National</w:t>
      </w:r>
      <w:proofErr w:type="spellEnd"/>
      <w:r>
        <w:rPr>
          <w:rFonts w:ascii="Arial" w:eastAsia="Calibri" w:hAnsi="Arial" w:cs="Arial"/>
        </w:rPr>
        <w:t xml:space="preserve"> Open </w:t>
      </w:r>
      <w:proofErr w:type="spellStart"/>
      <w:r>
        <w:rPr>
          <w:rFonts w:ascii="Arial" w:eastAsia="Calibri" w:hAnsi="Arial" w:cs="Arial"/>
        </w:rPr>
        <w:t>Air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Museum</w:t>
      </w:r>
      <w:proofErr w:type="spellEnd"/>
      <w:r>
        <w:rPr>
          <w:rFonts w:ascii="Arial" w:eastAsia="Calibri" w:hAnsi="Arial" w:cs="Arial"/>
        </w:rPr>
        <w:t>,</w:t>
      </w:r>
      <w:r>
        <w:rPr>
          <w:rFonts w:ascii="Arial" w:hAnsi="Arial" w:cs="Arial"/>
        </w:rPr>
        <w:t xml:space="preserve"> Czechy (partner merytoryczny).</w:t>
      </w:r>
    </w:p>
    <w:p w14:paraId="02430DBD" w14:textId="77777777" w:rsidR="00530AC3" w:rsidRDefault="00530AC3" w:rsidP="00530AC3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 xml:space="preserve">Oprócz realizacji projektów Województwo Podkarpackie podejmuje działania w zakresie Konwencji Karpackiej, </w:t>
      </w:r>
      <w:r>
        <w:rPr>
          <w:rFonts w:ascii="Arial" w:hAnsi="Arial" w:cs="Arial"/>
          <w:bCs/>
        </w:rPr>
        <w:t>której celem</w:t>
      </w:r>
      <w:r>
        <w:rPr>
          <w:rFonts w:ascii="Arial" w:eastAsia="Calibri" w:hAnsi="Arial" w:cs="Arial"/>
          <w:bCs/>
        </w:rPr>
        <w:t xml:space="preserve"> jest współpraca międzynarodowa oraz prowadzenie przez państwa będące jej Stronami wszechstro</w:t>
      </w:r>
      <w:r w:rsidR="00682F33">
        <w:rPr>
          <w:rFonts w:ascii="Arial" w:eastAsia="Calibri" w:hAnsi="Arial" w:cs="Arial"/>
          <w:bCs/>
        </w:rPr>
        <w:t xml:space="preserve">nnej polityki na rzecz ochrony </w:t>
      </w:r>
      <w:r>
        <w:rPr>
          <w:rFonts w:ascii="Arial" w:eastAsia="Calibri" w:hAnsi="Arial" w:cs="Arial"/>
          <w:bCs/>
        </w:rPr>
        <w:t xml:space="preserve">i zrównoważonego rozwoju regionu karpackiego, dla poprawy jakości życia, wzmocnienia miejscowej gospodarki i społeczności lokalnych oraz zachowania walorów przyrodniczych, krajobrazowych </w:t>
      </w:r>
      <w:r w:rsidR="00682F33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 xml:space="preserve">i dziedzictwa kulturowego Karpat. Stronami Konwencji Karpackiej jest siedem państw regionu karpackiego: Republika Czeska, Rzeczpospolita Polska, Rumunia, Republika Serbii, Republika Słowacka, Ukraina </w:t>
      </w:r>
      <w:r>
        <w:rPr>
          <w:rFonts w:ascii="Arial" w:hAnsi="Arial" w:cs="Arial"/>
          <w:bCs/>
        </w:rPr>
        <w:t>i Węgry.</w:t>
      </w:r>
    </w:p>
    <w:p w14:paraId="6172CE58" w14:textId="77777777" w:rsidR="00530AC3" w:rsidRDefault="00530AC3" w:rsidP="00530AC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Członkostwo w stowarzyszeniu </w:t>
      </w:r>
      <w:proofErr w:type="spellStart"/>
      <w:r>
        <w:rPr>
          <w:rFonts w:ascii="Arial" w:eastAsia="Times New Roman" w:hAnsi="Arial" w:cs="Arial"/>
          <w:lang w:eastAsia="pl-PL"/>
        </w:rPr>
        <w:t>Euromontana</w:t>
      </w:r>
      <w:proofErr w:type="spellEnd"/>
      <w:r>
        <w:rPr>
          <w:rFonts w:ascii="Arial" w:eastAsia="Times New Roman" w:hAnsi="Arial" w:cs="Arial"/>
          <w:lang w:eastAsia="pl-PL"/>
        </w:rPr>
        <w:t xml:space="preserve"> stanowiłoby niewątpliwie ogromne wsparcie dla Województwa Podkarpackiego, które usilnie działa na rzecz utworzenia Makroregionalnej strategii dla regionu Karpat. Ponadto </w:t>
      </w:r>
      <w:r>
        <w:rPr>
          <w:rFonts w:ascii="Arial" w:hAnsi="Arial" w:cs="Arial"/>
        </w:rPr>
        <w:t xml:space="preserve">byłoby kolejnym krokiem w ramach realizowanej konsekwentnie polityki na rzecz utworzenia Strategii makroregionalnej dla regionu Karpat, co w przyszłości będzie oznaczać dodatkowe fundusze dla wszystkich regionów z obszaru Karpat, wsparcie dla nich oraz mocniejszą integrację społeczności lokalnych w makroregionie karpackim. Członkostwo w sieci </w:t>
      </w:r>
      <w:proofErr w:type="spellStart"/>
      <w:r>
        <w:rPr>
          <w:rFonts w:ascii="Arial" w:hAnsi="Arial" w:cs="Arial"/>
        </w:rPr>
        <w:t>Euromontana</w:t>
      </w:r>
      <w:proofErr w:type="spellEnd"/>
      <w:r>
        <w:rPr>
          <w:rFonts w:ascii="Arial" w:hAnsi="Arial" w:cs="Arial"/>
        </w:rPr>
        <w:t xml:space="preserve"> pozwoli również aktywnie działać na forum unijnym, gdyż stowarzyszenie służy jako platforma do nawiązywania kontaktów z instytucjami i organizacjami europejskimi.</w:t>
      </w:r>
    </w:p>
    <w:p w14:paraId="0C62F924" w14:textId="77777777" w:rsidR="00530AC3" w:rsidRDefault="00530AC3" w:rsidP="00530AC3">
      <w:pPr>
        <w:spacing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Roczna składka członkowska ustalana jest przez zgromadzenie ogólne i dla Województwa Podkarpackiego jako regionu wynosić będzie 2 500 Euro. Członkowie zobowiązani są do przestrzegania Statutu stowarzyszenia i do opłacania składki rocznej.</w:t>
      </w:r>
    </w:p>
    <w:p w14:paraId="4BFC8529" w14:textId="77777777" w:rsidR="00530AC3" w:rsidRDefault="00530AC3" w:rsidP="00530A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8D60BE" w14:textId="77777777" w:rsidR="00530AC3" w:rsidRDefault="00530AC3" w:rsidP="00530AC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C5339D" w14:textId="77777777" w:rsidR="00A671DF" w:rsidRPr="00EE60EA" w:rsidRDefault="00A671DF" w:rsidP="00B1063C">
      <w:pPr>
        <w:jc w:val="both"/>
        <w:rPr>
          <w:rFonts w:ascii="Arial" w:hAnsi="Arial" w:cs="Arial"/>
        </w:rPr>
      </w:pPr>
    </w:p>
    <w:sectPr w:rsidR="00A671DF" w:rsidRPr="00EE60EA" w:rsidSect="0036388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740C" w14:textId="77777777" w:rsidR="004A19EA" w:rsidRDefault="004A19EA" w:rsidP="00EE60EA">
      <w:pPr>
        <w:spacing w:after="0" w:line="240" w:lineRule="auto"/>
      </w:pPr>
      <w:r>
        <w:separator/>
      </w:r>
    </w:p>
  </w:endnote>
  <w:endnote w:type="continuationSeparator" w:id="0">
    <w:p w14:paraId="46BABC44" w14:textId="77777777" w:rsidR="004A19EA" w:rsidRDefault="004A19EA" w:rsidP="00E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DAA9" w14:textId="77777777" w:rsidR="004A19EA" w:rsidRDefault="004A19EA" w:rsidP="00EE60EA">
      <w:pPr>
        <w:spacing w:after="0" w:line="240" w:lineRule="auto"/>
      </w:pPr>
      <w:r>
        <w:separator/>
      </w:r>
    </w:p>
  </w:footnote>
  <w:footnote w:type="continuationSeparator" w:id="0">
    <w:p w14:paraId="659ED625" w14:textId="77777777" w:rsidR="004A19EA" w:rsidRDefault="004A19EA" w:rsidP="00EE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50A0"/>
    <w:multiLevelType w:val="hybridMultilevel"/>
    <w:tmpl w:val="A3A6A30A"/>
    <w:lvl w:ilvl="0" w:tplc="6DCE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3C"/>
    <w:rsid w:val="0011025C"/>
    <w:rsid w:val="00240AAA"/>
    <w:rsid w:val="00293A4F"/>
    <w:rsid w:val="00363886"/>
    <w:rsid w:val="004668F8"/>
    <w:rsid w:val="004A19EA"/>
    <w:rsid w:val="004E6E7F"/>
    <w:rsid w:val="00530AC3"/>
    <w:rsid w:val="00561C16"/>
    <w:rsid w:val="005E79E3"/>
    <w:rsid w:val="005F4DE9"/>
    <w:rsid w:val="00663807"/>
    <w:rsid w:val="00682E00"/>
    <w:rsid w:val="00682F33"/>
    <w:rsid w:val="006C1E47"/>
    <w:rsid w:val="006C23A1"/>
    <w:rsid w:val="006D1324"/>
    <w:rsid w:val="0070275A"/>
    <w:rsid w:val="007351AF"/>
    <w:rsid w:val="00744EB5"/>
    <w:rsid w:val="007E4A88"/>
    <w:rsid w:val="00964949"/>
    <w:rsid w:val="00994562"/>
    <w:rsid w:val="00A021C2"/>
    <w:rsid w:val="00A671DF"/>
    <w:rsid w:val="00A84F1F"/>
    <w:rsid w:val="00B1063C"/>
    <w:rsid w:val="00B40CB0"/>
    <w:rsid w:val="00B9596E"/>
    <w:rsid w:val="00C438F4"/>
    <w:rsid w:val="00E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177"/>
  <w15:chartTrackingRefBased/>
  <w15:docId w15:val="{D64B251C-8F42-410D-8514-02DA395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B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B1063C"/>
  </w:style>
  <w:style w:type="paragraph" w:styleId="Nagwek">
    <w:name w:val="header"/>
    <w:basedOn w:val="Normalny"/>
    <w:link w:val="NagwekZnak"/>
    <w:uiPriority w:val="99"/>
    <w:unhideWhenUsed/>
    <w:rsid w:val="00EE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0EA"/>
  </w:style>
  <w:style w:type="paragraph" w:styleId="Stopka">
    <w:name w:val="footer"/>
    <w:basedOn w:val="Normalny"/>
    <w:link w:val="StopkaZnak"/>
    <w:uiPriority w:val="99"/>
    <w:unhideWhenUsed/>
    <w:rsid w:val="00EE6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0EA"/>
  </w:style>
  <w:style w:type="paragraph" w:styleId="Tekstdymka">
    <w:name w:val="Balloon Text"/>
    <w:basedOn w:val="Normalny"/>
    <w:link w:val="TekstdymkaZnak"/>
    <w:uiPriority w:val="99"/>
    <w:semiHidden/>
    <w:unhideWhenUsed/>
    <w:rsid w:val="0036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Małgorzata</dc:creator>
  <cp:keywords/>
  <dc:description/>
  <cp:lastModifiedBy>Fac Izabela</cp:lastModifiedBy>
  <cp:revision>2</cp:revision>
  <cp:lastPrinted>2020-05-06T12:43:00Z</cp:lastPrinted>
  <dcterms:created xsi:type="dcterms:W3CDTF">2020-05-15T07:17:00Z</dcterms:created>
  <dcterms:modified xsi:type="dcterms:W3CDTF">2020-05-15T07:17:00Z</dcterms:modified>
</cp:coreProperties>
</file>